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Primarul Orașului Pantelimon</w:t>
      </w:r>
    </w:p>
    <w:p>
      <w:pPr>
        <w:spacing w:after="40"/>
      </w:pPr>
      <w:r>
        <w:rPr>
          <w:color w:val="444444"/>
          <w:sz w:val="20"/>
          <w:szCs w:val="20"/>
        </w:rPr>
        <w:t xml:space="preserve">Primăria Orașului Pantelimon, Str. Sfântul Gheorghe nr. 32, Oraș Pantelimon,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secretariat@primariapantelimon.ro  |  Registratura: relatiicupublicul@primariapantelimon.ro</w:t>
      </w:r>
    </w:p>
    <w:p>
      <w:pPr>
        <w:spacing w:after="40"/>
      </w:pPr>
      <w:r>
        <w:rPr>
          <w:color w:val="444444"/>
          <w:sz w:val="20"/>
          <w:szCs w:val="20"/>
        </w:rPr>
        <w:t xml:space="preserve">Tel.: 021 350 24 42 / 021 301 70 01  |  Fax: 021 301 70 75</w:t>
      </w:r>
    </w:p>
    <w:p>
      <w:pPr>
        <w:spacing w:after="40"/>
      </w:pPr>
      <w:r>
        <w:rPr>
          <w:color w:val="444444"/>
          <w:sz w:val="20"/>
          <w:szCs w:val="20"/>
        </w:rPr>
        <w:t xml:space="preserve">Registratura online: https://www.primariapantelimon.ro/registratura-online/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SOLICITARE DE VERIFICARE A UNUI SEMNAL DIN DATELE PUBLICE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vă rog să verificați și să îmi comunicați explicațiile instituției privind achiziția de mai jos, identificată ca semnal automat pe transparenta-pantelimon.eu. Semnalul nu reprezintă o constatare de încălcare a legii, ci un indicator care merită clarificat.</w:t>
      </w:r>
    </w:p>
    <w:p>
      <w:pPr>
        <w:spacing w:after="120" w:line="300"/>
        <w:jc w:val="both"/>
      </w:pPr>
      <w:r>
        <w:t xml:space="preserve">Identificator SEAP: </w:t>
      </w:r>
      <w:r>
        <w:rPr>
          <w:highlight w:val="yellow"/>
          <w:highlightCs w:val="yellow"/>
        </w:rPr>
        <w:t xml:space="preserve">[numărul anunțului sau linkul e-licitatie.ro]</w:t>
      </w:r>
    </w:p>
    <w:p>
      <w:pPr>
        <w:spacing w:after="120" w:line="300"/>
        <w:jc w:val="both"/>
      </w:pPr>
      <w:r>
        <w:t xml:space="preserve">Furnizor și CUI: </w:t>
      </w:r>
      <w:r>
        <w:rPr>
          <w:highlight w:val="yellow"/>
          <w:highlightCs w:val="yellow"/>
        </w:rPr>
        <w:t xml:space="preserve">[denumire, CUI]</w:t>
      </w:r>
      <w:r>
        <w:t xml:space="preserve">  |  Valoare și procedură: </w:t>
      </w:r>
      <w:r>
        <w:rPr>
          <w:highlight w:val="yellow"/>
          <w:highlightCs w:val="yellow"/>
        </w:rPr>
        <w:t xml:space="preserve">[lei, fără TVA; procedura]</w:t>
      </w:r>
    </w:p>
    <w:p>
      <w:pPr>
        <w:spacing w:after="120" w:line="300"/>
        <w:jc w:val="both"/>
      </w:pPr>
      <w:r>
        <w:t xml:space="preserve">Semnalul automat: </w:t>
      </w:r>
      <w:r>
        <w:rPr>
          <w:highlight w:val="yellow"/>
          <w:highlightCs w:val="yellow"/>
        </w:rPr>
        <w:t xml:space="preserve">[de ex. „valoare aproape de prag”, „posibilă fragmentare”, „un singur ofertant”]</w:t>
      </w:r>
    </w:p>
    <w:p>
      <w:pPr>
        <w:spacing w:after="120" w:line="300"/>
        <w:jc w:val="both"/>
      </w:pPr>
      <w:r>
        <w:rPr>
          <w:i/>
          <w:iCs/>
        </w:rPr>
        <w:t xml:space="preserve">Pragurile de achiziție directă, fără TVA, sunt de 270.120 lei pentru produse și servicii și 900.400 lei pentru lucrări (Legea nr. 98/2016, art. 7 alin. (5)).</w:t>
      </w:r>
    </w:p>
    <w:p>
      <w:pPr>
        <w:spacing w:after="120" w:line="300"/>
        <w:jc w:val="left"/>
      </w:pPr>
      <w:r>
        <w:rPr>
          <w:b/>
          <w:bCs/>
        </w:rPr>
        <w:t xml:space="preserve">Solicit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Documentele care justifică estimarea valorii și alegerea procedurii.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Clarificarea încadrării CPV și a valorii estimate totale a achiziției.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Indicarea linkurilor SEAP și a actelor administrative relevante.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Corectarea datelor publice, dacă instituția constată o neconcordanță.</w:t>
      </w:r>
    </w:p>
    <w:p>
      <w:pPr>
        <w:spacing w:after="120" w:line="300"/>
        <w:jc w:val="both"/>
      </w:pPr>
      <w:r>
        <w:t xml:space="preserve">Vă rog să îmi comunicați răspunsul la adresa de e-mail de mai sus, în termenul prevăzut de O.G. nr. 27/2002 (30 de zile).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trimiteți documentul cu relatiicupublicul@primariapantelimon.ro în CC și păstrați numărul de înregistrare primit.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2026-09-28T12:05:42.306Z</dcterms:created>
  <dcterms:modified xsi:type="dcterms:W3CDTF">2026-09-28T12:05:42.306Z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